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4E2" w:rsidRDefault="003A14E2" w:rsidP="003A14E2">
      <w:pPr>
        <w:pStyle w:val="1"/>
        <w:jc w:val="center"/>
      </w:pPr>
      <w:r>
        <w:rPr>
          <w:rFonts w:hint="eastAsia"/>
        </w:rPr>
        <w:t>正大</w:t>
      </w:r>
      <w:r>
        <w:t>D.W</w:t>
      </w:r>
      <w:r>
        <w:rPr>
          <w:rFonts w:hint="eastAsia"/>
        </w:rPr>
        <w:t>团队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769"/>
        <w:gridCol w:w="4753"/>
      </w:tblGrid>
      <w:tr w:rsidR="003A14E2" w:rsidTr="003A14E2"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A14E2" w:rsidRDefault="003A14E2">
            <w:pPr>
              <w:jc w:val="center"/>
              <w:rPr>
                <w:kern w:val="2"/>
                <w:sz w:val="21"/>
                <w:szCs w:val="22"/>
              </w:rPr>
            </w:pPr>
            <w:r>
              <w:rPr>
                <w:noProof/>
              </w:rPr>
              <w:drawing>
                <wp:inline distT="0" distB="0" distL="0" distR="0">
                  <wp:extent cx="2299970" cy="233426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9970" cy="2334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A14E2" w:rsidRDefault="003A14E2">
            <w:pPr>
              <w:jc w:val="center"/>
              <w:rPr>
                <w:kern w:val="2"/>
                <w:sz w:val="21"/>
                <w:szCs w:val="22"/>
              </w:rPr>
            </w:pPr>
            <w:r>
              <w:rPr>
                <w:noProof/>
              </w:rPr>
              <w:drawing>
                <wp:inline distT="0" distB="0" distL="0" distR="0">
                  <wp:extent cx="2936875" cy="293687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6875" cy="293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A14E2" w:rsidRDefault="003A14E2" w:rsidP="003A14E2">
      <w:pPr>
        <w:widowControl/>
        <w:spacing w:line="360" w:lineRule="auto"/>
        <w:rPr>
          <w:rFonts w:asciiTheme="minorEastAsia" w:eastAsiaTheme="minorEastAsia" w:hAnsiTheme="minorEastAsia"/>
          <w:color w:val="00B050"/>
          <w:kern w:val="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B050"/>
          <w:kern w:val="0"/>
          <w:sz w:val="24"/>
          <w:szCs w:val="24"/>
        </w:rPr>
        <w:t>主要负责人：李嘉杰</w:t>
      </w:r>
    </w:p>
    <w:p w:rsidR="003A14E2" w:rsidRDefault="003A14E2" w:rsidP="003A14E2">
      <w:pPr>
        <w:pStyle w:val="ListParagraphfb7ea2f7-92cd-486e-801d-37c1529d1a73"/>
        <w:ind w:firstLineChars="0" w:firstLine="0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color w:val="00B050"/>
          <w:kern w:val="0"/>
          <w:sz w:val="24"/>
          <w:szCs w:val="24"/>
        </w:rPr>
        <w:t>团队主要成员 ：</w:t>
      </w:r>
      <w:r>
        <w:rPr>
          <w:rFonts w:asciiTheme="minorEastAsia" w:eastAsiaTheme="minorEastAsia" w:hAnsiTheme="minorEastAsia" w:hint="eastAsia"/>
          <w:sz w:val="24"/>
          <w:szCs w:val="24"/>
        </w:rPr>
        <w:t>李</w:t>
      </w:r>
      <w:proofErr w:type="gramStart"/>
      <w:r>
        <w:rPr>
          <w:rFonts w:asciiTheme="minorEastAsia" w:eastAsiaTheme="minorEastAsia" w:hAnsiTheme="minorEastAsia" w:hint="eastAsia"/>
          <w:sz w:val="24"/>
          <w:szCs w:val="24"/>
        </w:rPr>
        <w:t>嘉杰刘丰玮邱泾</w:t>
      </w:r>
      <w:proofErr w:type="gramEnd"/>
      <w:r>
        <w:rPr>
          <w:rFonts w:asciiTheme="minorEastAsia" w:eastAsiaTheme="minorEastAsia" w:hAnsiTheme="minorEastAsia" w:hint="eastAsia"/>
          <w:sz w:val="24"/>
          <w:szCs w:val="24"/>
        </w:rPr>
        <w:t xml:space="preserve">  刘宏杨  </w:t>
      </w:r>
      <w:proofErr w:type="gramStart"/>
      <w:r>
        <w:rPr>
          <w:rFonts w:asciiTheme="minorEastAsia" w:eastAsiaTheme="minorEastAsia" w:hAnsiTheme="minorEastAsia" w:hint="eastAsia"/>
          <w:sz w:val="24"/>
          <w:szCs w:val="24"/>
        </w:rPr>
        <w:t>辛慧洁</w:t>
      </w:r>
      <w:proofErr w:type="gramEnd"/>
    </w:p>
    <w:p w:rsidR="003A14E2" w:rsidRDefault="003A14E2" w:rsidP="003A14E2">
      <w:pPr>
        <w:spacing w:line="360" w:lineRule="auto"/>
        <w:jc w:val="left"/>
        <w:rPr>
          <w:rFonts w:asciiTheme="minorEastAsia" w:eastAsiaTheme="minorEastAsia" w:hAnsiTheme="minorEastAsia" w:hint="eastAsia"/>
          <w:color w:val="00B050"/>
          <w:kern w:val="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B050"/>
          <w:kern w:val="0"/>
          <w:sz w:val="24"/>
          <w:szCs w:val="24"/>
        </w:rPr>
        <w:t>简介：“福袋早餐”是我们团队的招牌创新活动。创新思路来源于大学生对网络资源的兴趣与对早餐的需要。</w:t>
      </w:r>
    </w:p>
    <w:p w:rsidR="003A14E2" w:rsidRDefault="003A14E2" w:rsidP="003A14E2">
      <w:pPr>
        <w:spacing w:line="360" w:lineRule="auto"/>
        <w:ind w:firstLineChars="50" w:firstLine="120"/>
        <w:jc w:val="left"/>
        <w:rPr>
          <w:rFonts w:asciiTheme="minorEastAsia" w:eastAsiaTheme="minorEastAsia" w:hAnsiTheme="minorEastAsia" w:hint="eastAsia"/>
          <w:color w:val="00B050"/>
          <w:kern w:val="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B050"/>
          <w:kern w:val="0"/>
          <w:sz w:val="24"/>
          <w:szCs w:val="24"/>
        </w:rPr>
        <w:t xml:space="preserve">   将学生感兴趣的网络资源以</w:t>
      </w:r>
      <w:proofErr w:type="gramStart"/>
      <w:r>
        <w:rPr>
          <w:rFonts w:asciiTheme="minorEastAsia" w:eastAsiaTheme="minorEastAsia" w:hAnsiTheme="minorEastAsia" w:hint="eastAsia"/>
          <w:color w:val="00B050"/>
          <w:kern w:val="0"/>
          <w:sz w:val="24"/>
          <w:szCs w:val="24"/>
        </w:rPr>
        <w:t>网盘形式</w:t>
      </w:r>
      <w:proofErr w:type="gramEnd"/>
      <w:r>
        <w:rPr>
          <w:rFonts w:asciiTheme="minorEastAsia" w:eastAsiaTheme="minorEastAsia" w:hAnsiTheme="minorEastAsia" w:hint="eastAsia"/>
          <w:color w:val="00B050"/>
          <w:kern w:val="0"/>
          <w:sz w:val="24"/>
          <w:szCs w:val="24"/>
        </w:rPr>
        <w:t>整合起来，学生只需根据我们提供的附带卡片在</w:t>
      </w:r>
      <w:proofErr w:type="gramStart"/>
      <w:r>
        <w:rPr>
          <w:rFonts w:asciiTheme="minorEastAsia" w:eastAsiaTheme="minorEastAsia" w:hAnsiTheme="minorEastAsia" w:hint="eastAsia"/>
          <w:color w:val="00B050"/>
          <w:kern w:val="0"/>
          <w:sz w:val="24"/>
          <w:szCs w:val="24"/>
        </w:rPr>
        <w:t>微信后台</w:t>
      </w:r>
      <w:proofErr w:type="gramEnd"/>
      <w:r>
        <w:rPr>
          <w:rFonts w:asciiTheme="minorEastAsia" w:eastAsiaTheme="minorEastAsia" w:hAnsiTheme="minorEastAsia" w:hint="eastAsia"/>
          <w:color w:val="00B050"/>
          <w:kern w:val="0"/>
          <w:sz w:val="24"/>
          <w:szCs w:val="24"/>
        </w:rPr>
        <w:t>输入关键词即可获得相应资源</w:t>
      </w:r>
    </w:p>
    <w:p w:rsidR="003A14E2" w:rsidRDefault="003A14E2" w:rsidP="003A14E2">
      <w:pPr>
        <w:spacing w:line="360" w:lineRule="auto"/>
        <w:ind w:firstLineChars="50" w:firstLine="120"/>
        <w:jc w:val="left"/>
        <w:rPr>
          <w:rFonts w:asciiTheme="minorEastAsia" w:eastAsiaTheme="minorEastAsia" w:hAnsiTheme="minorEastAsia" w:hint="eastAsia"/>
          <w:color w:val="00B050"/>
          <w:kern w:val="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B050"/>
          <w:kern w:val="0"/>
          <w:sz w:val="24"/>
          <w:szCs w:val="24"/>
        </w:rPr>
        <w:t>在共享经济大时代背景下，我们开出一条资源回馈通道，消费者可以将自己的资源回馈到我们的公众号中，换取正大DW早餐“折扣券”。这种做法既能保障我们资源的优质、扩展与更新，又能降低我们的运营成本。</w:t>
      </w:r>
    </w:p>
    <w:p w:rsidR="003A14E2" w:rsidRDefault="003A14E2" w:rsidP="003A14E2">
      <w:pPr>
        <w:rPr>
          <w:rFonts w:asciiTheme="minorEastAsia" w:eastAsiaTheme="minorEastAsia" w:hAnsiTheme="minorEastAsia" w:hint="eastAsia"/>
          <w:color w:val="00B05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B050"/>
          <w:sz w:val="24"/>
          <w:szCs w:val="24"/>
        </w:rPr>
        <w:t>创业介绍：我们共</w:t>
      </w:r>
      <w:proofErr w:type="gramStart"/>
      <w:r>
        <w:rPr>
          <w:rFonts w:asciiTheme="minorEastAsia" w:eastAsiaTheme="minorEastAsia" w:hAnsiTheme="minorEastAsia" w:hint="eastAsia"/>
          <w:color w:val="00B050"/>
          <w:sz w:val="24"/>
          <w:szCs w:val="24"/>
        </w:rPr>
        <w:t>走访商</w:t>
      </w:r>
      <w:proofErr w:type="gramEnd"/>
      <w:r>
        <w:rPr>
          <w:rFonts w:asciiTheme="minorEastAsia" w:eastAsiaTheme="minorEastAsia" w:hAnsiTheme="minorEastAsia" w:hint="eastAsia"/>
          <w:color w:val="00B050"/>
          <w:sz w:val="24"/>
          <w:szCs w:val="24"/>
        </w:rPr>
        <w:t>铺36家，从毫无头绪，屡遭拒绝到顺利谈成渐入佳境，从零销售额到23891元，我们五人彼此信任、相互鼓励，我们坚持用梦想丈量世界，用拼搏不负青春。在此，感谢正大平台，让我们证明自己的实力，我们也希望借此机会，将我们的正能量感染身边的每一个人。</w:t>
      </w:r>
    </w:p>
    <w:p w:rsidR="00AE4991" w:rsidRPr="003A14E2" w:rsidRDefault="003A14E2">
      <w:bookmarkStart w:id="0" w:name="_GoBack"/>
      <w:bookmarkEnd w:id="0"/>
    </w:p>
    <w:sectPr w:rsidR="00AE4991" w:rsidRPr="003A14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1F8"/>
    <w:rsid w:val="0020049C"/>
    <w:rsid w:val="003A14E2"/>
    <w:rsid w:val="004646A4"/>
    <w:rsid w:val="0065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4E2"/>
    <w:pPr>
      <w:widowControl w:val="0"/>
      <w:jc w:val="both"/>
    </w:pPr>
    <w:rPr>
      <w:rFonts w:ascii="Calibri" w:eastAsia="宋体" w:hAnsi="Calibri" w:cs="宋体"/>
    </w:rPr>
  </w:style>
  <w:style w:type="paragraph" w:styleId="1">
    <w:name w:val="heading 1"/>
    <w:basedOn w:val="a"/>
    <w:next w:val="a"/>
    <w:link w:val="1Char"/>
    <w:qFormat/>
    <w:rsid w:val="003A14E2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3A14E2"/>
    <w:rPr>
      <w:rFonts w:ascii="Calibri" w:eastAsia="宋体" w:hAnsi="Calibri" w:cs="宋体"/>
      <w:b/>
      <w:bCs/>
      <w:kern w:val="44"/>
      <w:sz w:val="44"/>
      <w:szCs w:val="44"/>
    </w:rPr>
  </w:style>
  <w:style w:type="paragraph" w:customStyle="1" w:styleId="ListParagraphfb7ea2f7-92cd-486e-801d-37c1529d1a73">
    <w:name w:val="List Paragraph_fb7ea2f7-92cd-486e-801d-37c1529d1a73"/>
    <w:basedOn w:val="a"/>
    <w:qFormat/>
    <w:rsid w:val="003A14E2"/>
    <w:pPr>
      <w:ind w:firstLineChars="200" w:firstLine="420"/>
    </w:pPr>
    <w:rPr>
      <w:rFonts w:cs="Times New Roman"/>
      <w:szCs w:val="21"/>
    </w:rPr>
  </w:style>
  <w:style w:type="table" w:styleId="a3">
    <w:name w:val="Table Grid"/>
    <w:basedOn w:val="a1"/>
    <w:rsid w:val="003A14E2"/>
    <w:rPr>
      <w:rFonts w:ascii="Calibri" w:eastAsia="宋体" w:hAnsi="Calibri" w:cs="宋体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3A14E2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3A14E2"/>
    <w:rPr>
      <w:rFonts w:ascii="Calibri" w:eastAsia="宋体" w:hAnsi="Calibri" w:cs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4E2"/>
    <w:pPr>
      <w:widowControl w:val="0"/>
      <w:jc w:val="both"/>
    </w:pPr>
    <w:rPr>
      <w:rFonts w:ascii="Calibri" w:eastAsia="宋体" w:hAnsi="Calibri" w:cs="宋体"/>
    </w:rPr>
  </w:style>
  <w:style w:type="paragraph" w:styleId="1">
    <w:name w:val="heading 1"/>
    <w:basedOn w:val="a"/>
    <w:next w:val="a"/>
    <w:link w:val="1Char"/>
    <w:qFormat/>
    <w:rsid w:val="003A14E2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3A14E2"/>
    <w:rPr>
      <w:rFonts w:ascii="Calibri" w:eastAsia="宋体" w:hAnsi="Calibri" w:cs="宋体"/>
      <w:b/>
      <w:bCs/>
      <w:kern w:val="44"/>
      <w:sz w:val="44"/>
      <w:szCs w:val="44"/>
    </w:rPr>
  </w:style>
  <w:style w:type="paragraph" w:customStyle="1" w:styleId="ListParagraphfb7ea2f7-92cd-486e-801d-37c1529d1a73">
    <w:name w:val="List Paragraph_fb7ea2f7-92cd-486e-801d-37c1529d1a73"/>
    <w:basedOn w:val="a"/>
    <w:qFormat/>
    <w:rsid w:val="003A14E2"/>
    <w:pPr>
      <w:ind w:firstLineChars="200" w:firstLine="420"/>
    </w:pPr>
    <w:rPr>
      <w:rFonts w:cs="Times New Roman"/>
      <w:szCs w:val="21"/>
    </w:rPr>
  </w:style>
  <w:style w:type="table" w:styleId="a3">
    <w:name w:val="Table Grid"/>
    <w:basedOn w:val="a1"/>
    <w:rsid w:val="003A14E2"/>
    <w:rPr>
      <w:rFonts w:ascii="Calibri" w:eastAsia="宋体" w:hAnsi="Calibri" w:cs="宋体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3A14E2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3A14E2"/>
    <w:rPr>
      <w:rFonts w:ascii="Calibri" w:eastAsia="宋体" w:hAnsi="Calibri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41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2018-05-07T14:27:00Z</dcterms:created>
  <dcterms:modified xsi:type="dcterms:W3CDTF">2018-05-07T14:27:00Z</dcterms:modified>
</cp:coreProperties>
</file>